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Outdoor Play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47. Outdoor Play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1.3, 3.58</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The Chief Medical Office guidance on physical activity.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ensure all areas are safe and secure through close supervision and the use of robust risk assessments and daily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obtain parental permission before any child leaves the nursery during the day. This includes short outings into the local community. There is more information in the outings policy.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use this policy alongside the following policies to ensure the safety and welfare of children throughout their time outside:</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Health and Safety</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Sun Care </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Caring for Babies and Toddlers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Lost Child Policy </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Parents and Carers as Partners  </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Supervision of Children </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Safeguarding and Child Protection</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Outings.  </w:t>
      </w:r>
    </w:p>
    <w:p w:rsidR="00000000" w:rsidDel="00000000" w:rsidP="00000000" w:rsidRDefault="00000000" w:rsidRPr="00000000" w14:paraId="00000023">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0">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1">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2">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*During Covid-19 we have formed room ‘Bubbles’ as the main outdoor area for over 2’s is a shared space, the bubbles are not permitted to mix so now have separate outdoor times to ensure there is no mixing of bubbles.</w:t>
            </w:r>
            <w:r w:rsidDel="00000000" w:rsidR="00000000" w:rsidRPr="00000000">
              <w:rPr>
                <w:rtl w:val="0"/>
              </w:rPr>
            </w:r>
          </w:p>
        </w:tc>
      </w:tr>
    </w:tbl>
    <w:p w:rsidR="00000000" w:rsidDel="00000000" w:rsidP="00000000" w:rsidRDefault="00000000" w:rsidRPr="00000000" w14:paraId="00000036">
      <w:pPr>
        <w:rPr/>
      </w:pPr>
      <w:bookmarkStart w:colFirst="0" w:colLast="0" w:name="_heading=h.30j0zll" w:id="1"/>
      <w:bookmarkEnd w:id="1"/>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www.gov.uk/government/publications/uk-physical-activity-guidelines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3752FC"/>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8"/>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3"/>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6"/>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F53EB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IVeHCLJRARQyvSuHPmMLzvR6A==">AMUW2mVWO8nGaPVHinv8r80/Kyvd9IPKT5DkuyyIii73ozDa/8ldXNn8HJ594jdtAvQ3YxT2MRknEqeYLkMUi8V/SOLdgOaH0vehIkLcQNZ9lsrw0Kkm1HDNuawJFofwNGVCMHFBqPJv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2019-05-24T10:13:00Z</dcterms:created>
  <dc:creator>Donna Sheldon (NDNA)</dc:creator>
</cp:coreProperties>
</file>