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Suitability of Staff</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31. Suitability of Staff</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tbl>
      <w:tblPr>
        <w:tblStyle w:val="Table1"/>
        <w:tblW w:w="45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9"/>
        <w:tblGridChange w:id="0">
          <w:tblGrid>
            <w:gridCol w:w="4509"/>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3.9 – 3.18, 3.20-3.26</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committed to ensuring that all staff, including students and volunteers are suitable to work with or be in regular contact with children. We have systems in place to ensure that this includes making a decision about suitability, as part of the recruitment process and monitoring continued suitability, as part of regular staff or student supervision.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at all times by staff who already hold an enhanced check and the check has been applied for.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All nursery staff will be informed of any staff awaiting enhanced DBS clearance.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Staff awaiting these checks will</w:t>
      </w:r>
      <w:r w:rsidDel="00000000" w:rsidR="00000000" w:rsidRPr="00000000">
        <w:rPr>
          <w:b w:val="1"/>
          <w:rtl w:val="0"/>
        </w:rPr>
        <w:t xml:space="preserve"> never</w:t>
      </w:r>
      <w:r w:rsidDel="00000000" w:rsidR="00000000" w:rsidRPr="00000000">
        <w:rPr>
          <w:rtl w:val="0"/>
        </w:rPr>
        <w:t xml:space="preserve">:</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Be left unsupervised whilst caring for children</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Take children for toilet visits unless supervised by staff holding an enhanced check</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Change nappies</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Be left alone in a room or outside with children</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Administer medication</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Administer first aid</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Take photographs of any children</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Be involved in looking at a child’s learning and development log, but can contribute to it </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Have access to children’s personal details and records.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While adhering to the above list, we recognise that it is vital that the staff member awaiting an enhanced disclosure is made to feel part of the team and we support them in participating fully in every other aspect of the nursery day.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 information they may require. </w:t>
      </w:r>
    </w:p>
    <w:p w:rsidR="00000000" w:rsidDel="00000000" w:rsidP="00000000" w:rsidRDefault="00000000" w:rsidRPr="00000000" w14:paraId="00000025">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2">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3">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4">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5">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6912E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x/eyDIUVlv72MJy1F8UVp/8cg==">AMUW2mV9yCl1vw4c52d2GSqceieLWMcLdr9Ym4aPvlmyhmNUxJRe7kaiGSXWQCzBDhPqxkYwIxeUIGePZUjtpb7wtLVnBLSCddUohBV0hM3gk56O5CL84h8I/jFRT9Q73KHnOGc4Vptz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2019-05-24T09:31:00Z</dcterms:created>
  <dc:creator>Donna Sheldon (NDNA)</dc:creator>
</cp:coreProperties>
</file>