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Prevent Duty and Radicalisation Policy</w:t>
      </w:r>
    </w:p>
    <w:p w:rsidR="00000000" w:rsidDel="00000000" w:rsidP="00000000" w:rsidRDefault="00000000" w:rsidRPr="00000000" w14:paraId="0000000A">
      <w:pPr>
        <w:jc w:val="center"/>
        <w:rPr>
          <w:rFonts w:ascii="Century Gothic" w:cs="Century Gothic" w:eastAsia="Century Gothic" w:hAnsi="Century Gothic"/>
          <w:sz w:val="72"/>
          <w:szCs w:val="7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30j0zll" w:id="1"/>
      <w:bookmarkEnd w:id="1"/>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1d. Prevent Duty and Radicalisation policy</w:t>
      </w:r>
    </w:p>
    <w:p w:rsidR="00000000" w:rsidDel="00000000" w:rsidP="00000000" w:rsidRDefault="00000000" w:rsidRPr="00000000" w14:paraId="0000000C">
      <w:pPr>
        <w:rPr/>
      </w:pPr>
      <w:r w:rsidDel="00000000" w:rsidR="00000000" w:rsidRPr="00000000">
        <w:rPr>
          <w:rtl w:val="0"/>
        </w:rPr>
      </w:r>
    </w:p>
    <w:tbl>
      <w:tblPr>
        <w:tblStyle w:val="Table1"/>
        <w:tblW w:w="30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tblGridChange w:id="0">
          <w:tblGrid>
            <w:gridCol w:w="3081"/>
          </w:tblGrid>
        </w:tblGridChange>
      </w:tblGrid>
      <w:tr>
        <w:trPr>
          <w:trHeight w:val="200" w:hRule="atLeast"/>
        </w:trPr>
        <w:tc>
          <w:tcPr>
            <w:vAlign w:val="center"/>
          </w:tcPr>
          <w:p w:rsidR="00000000" w:rsidDel="00000000" w:rsidP="00000000" w:rsidRDefault="00000000" w:rsidRPr="00000000" w14:paraId="0000000D">
            <w:pPr>
              <w:jc w:val="center"/>
              <w:rPr>
                <w:rFonts w:ascii="Calibri" w:cs="Calibri" w:eastAsia="Calibri" w:hAnsi="Calibri"/>
                <w:color w:val="000000"/>
                <w:sz w:val="22"/>
                <w:szCs w:val="22"/>
              </w:rPr>
            </w:pPr>
            <w:r w:rsidDel="00000000" w:rsidR="00000000" w:rsidRPr="00000000">
              <w:rPr>
                <w:color w:val="000000"/>
                <w:sz w:val="20"/>
                <w:szCs w:val="20"/>
                <w:rtl w:val="0"/>
              </w:rPr>
              <w:t xml:space="preserve">EYFS: 3.4, 3.6, 3.7</w:t>
            </w:r>
            <w:r w:rsidDel="00000000" w:rsidR="00000000" w:rsidRPr="00000000">
              <w:rPr>
                <w:rtl w:val="0"/>
              </w:rPr>
            </w:r>
          </w:p>
        </w:tc>
      </w:tr>
    </w:tbl>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1"/>
        <w:rPr>
          <w:color w:val="000000"/>
        </w:rPr>
      </w:pPr>
      <w:r w:rsidDel="00000000" w:rsidR="00000000" w:rsidRPr="00000000">
        <w:rPr>
          <w:b w:val="1"/>
          <w:color w:val="000000"/>
          <w:rtl w:val="0"/>
        </w:rPr>
        <w:t xml:space="preserve">Extremism – the Prevent Duty </w:t>
      </w: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i w:val="1"/>
          <w:color w:val="000000"/>
        </w:rPr>
      </w:pPr>
      <w:r w:rsidDel="00000000" w:rsidR="00000000" w:rsidRPr="00000000">
        <w:rPr>
          <w:color w:val="000000"/>
          <w:rtl w:val="0"/>
        </w:rPr>
        <w:t xml:space="preserve">Working Together to Safeguard Children (2018) defines extremism. It states </w:t>
      </w:r>
      <w:r w:rsidDel="00000000" w:rsidR="00000000" w:rsidRPr="00000000">
        <w:rPr>
          <w:i w:val="1"/>
          <w:color w:val="000000"/>
          <w:rtl w:val="0"/>
        </w:rPr>
        <w:t xml:space="preserve">“Extremism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rsidR="00000000" w:rsidDel="00000000" w:rsidP="00000000" w:rsidRDefault="00000000" w:rsidRPr="00000000" w14:paraId="00000013">
      <w:pPr>
        <w:rPr>
          <w:i w:val="1"/>
          <w:color w:val="000000"/>
        </w:rPr>
      </w:pPr>
      <w:r w:rsidDel="00000000" w:rsidR="00000000" w:rsidRPr="00000000">
        <w:rPr>
          <w:i w:val="1"/>
          <w:color w:val="000000"/>
          <w:rtl w:val="0"/>
        </w:rP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color w:val="000000"/>
          <w:rtl w:val="0"/>
        </w:rPr>
        <w:t xml:space="preserve">Under the Counter-Terrorism and Security Act 2015 we have a duty to refer any concerns of extremism to the police (In Prevent priority areas the local authority will have a Prevent lead who can also provide support). </w:t>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color w:val="000000"/>
          <w:rtl w:val="0"/>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color w:val="000000"/>
          <w:rtl w:val="0"/>
        </w:rPr>
        <w:t xml:space="preserve">Alongside this we will be alert to any early signs in children and families who may be at risk of radicalisation, on which we will act and document all concerns when reporting further. </w:t>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color w:val="000000"/>
          <w:rtl w:val="0"/>
        </w:rPr>
        <w:t xml:space="preserve">The NSPCC states that signs of radicalisation may be:</w:t>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isolating themselves from family and friends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talking as if from a scripted speech</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unwillingness or inability to discuss their views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sudden disrespectful attitude towards others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increased levels of anger</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increased secretiveness, especially around internet use.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left"/>
        <w:rPr>
          <w:color w:val="000000"/>
        </w:rPr>
      </w:pPr>
      <w:r w:rsidDel="00000000" w:rsidR="00000000" w:rsidRPr="00000000">
        <w:rPr>
          <w:color w:val="000000"/>
          <w:rtl w:val="0"/>
        </w:rPr>
        <w:t xml:space="preserve">We will tackle radicalisation by:</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all staff to understand what is meant by the Prevent Duty and radicalisation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staff understand how to recognise early indicators of potential radicalisation and terrorism threats and act on them appropriately in line with national and local procedures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any referrals relating to extremism to the police (or the Government helpline) in a timely way, sharing relevant information as appropriate </w:t>
      </w:r>
      <w:r w:rsidDel="00000000" w:rsidR="00000000" w:rsidRPr="00000000">
        <w:rPr>
          <w:rtl w:val="0"/>
        </w:rPr>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Ensure our nursery is an inclusive environment, tackle inequalities and negative points of view and teach children about tolerance through British Values</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Using the Government document Prevent Duty Guidance for England and Wales</w:t>
      </w:r>
      <w:r w:rsidDel="00000000" w:rsidR="00000000" w:rsidRPr="00000000">
        <w:rPr>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7">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8">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9">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A">
      <w:pPr>
        <w:rPr/>
      </w:pPr>
      <w:bookmarkStart w:colFirst="0" w:colLast="0" w:name="_heading=h.1fob9te" w:id="2"/>
      <w:bookmarkEnd w:id="2"/>
      <w:r w:rsidDel="00000000" w:rsidR="00000000" w:rsidRPr="00000000">
        <w:rPr>
          <w:rtl w:val="0"/>
        </w:rPr>
      </w:r>
    </w:p>
    <w:p w:rsidR="00000000" w:rsidDel="00000000" w:rsidP="00000000" w:rsidRDefault="00000000" w:rsidRPr="00000000" w14:paraId="0000003B">
      <w:pPr>
        <w:jc w:val="center"/>
        <w:rPr>
          <w:rFonts w:ascii="Century Gothic" w:cs="Century Gothic" w:eastAsia="Century Gothic" w:hAnsi="Century Gothic"/>
          <w:sz w:val="72"/>
          <w:szCs w:val="72"/>
        </w:rPr>
      </w:pPr>
      <w:r w:rsidDel="00000000" w:rsidR="00000000" w:rsidRPr="00000000">
        <w:rPr>
          <w:rtl w:val="0"/>
        </w:rPr>
      </w:r>
    </w:p>
    <w:sectPr>
      <w:headerReference r:id="rId9" w:type="default"/>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https://www.gov.uk/government/uploads/system/uploads/attachment_data/file/445977/3799_Revised_Prevent_Duty_Guidance__England_Wales_V2-Interactive.pdf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3"/>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7"/>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6"/>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4"/>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E3671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977/3799_Revised_Prevent_Duty_Guidance__England_Wales_V2-Interacti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hoGcqAAUEMuhu6vc93BvW0pLw==">AMUW2mV7pEwrQhQGBwit3VLZ/mHh5+5xAFDNo+LKVBodERy2Q3bOGYZG22iEmIlE/3fLY3pfWc4F7GmBTr7sE2xuS4BNWhNz1qhaw9ksOXk9IN0w+DcgxW0bIFkDmIH8Ie3BXEYRiwLXdJp0cAzXpbRGWQZ4WuU28g==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2019-05-24T11:36:00Z</dcterms:created>
  <dc:creator>Donna Sheldon (NDNA)</dc:creator>
</cp:coreProperties>
</file>