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Lost Child Procedure from Outings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18. Lost Child Procedure from Outings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3.65,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All staff will be aware of the procedure when a child goes missing and supply information to support the search, e.g. a recent photograph and a detailed description of clothing</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organiser will be informed immediately and all staff present will be informed. Some staff will be deployed to start an immediate thorough search of the area, ensuring that all other children remain supervised, calm and supported throughout</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If appropriate, on-site security will also be informed and a description given</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The designated person in charge will immediately inform the police</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The designated person in charge will then inform the nursery who will contact the child’s parents giving details of what has happened. If the whole nursery is on an outing, all contact details will be taken on the trip by the person in charge</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During this period, staff will be continually searching for the missing child, whilst other staff maintain the safety and welfare of the remaining children</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Any incidents must be recorded in writing as soon as practicably possible including the outcome, who was lost, time identified, notification to police and findings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In the unlikely event that the child is not found the nursery will follow the local authority and police procedure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Ofsted must be contacted and informed of any incidents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With incidents of this nature parents, carers, children and staff may require support and reassurance following the traumatic experience. Management will provide this or seek further support where necessary</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In any cases with media attention staff will not speak to any media representatives </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Post-incident risk assessments will be conducted following any incident of this nature to enable the chance of this recurring being reduced.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E">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F">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A15F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5cXuk4hiNiIHCijyylRdGS3ymw==">AMUW2mWZMWqAd8LtmiK/+fPG/B7zkFawLhgtUqM+PbUBja4QabOHGZFgpDuX/YUjapbsNbrZxKugTci2mCubxY/s88T5yo5G3gs/yUvU0sQmBbyA71SvAvuhCQIDfQLkh9VxN3m73JEC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2019-05-24T08:44:00Z</dcterms:created>
  <dc:creator>Donna Sheldon (NDNA)</dc:creator>
</cp:coreProperties>
</file>